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8759" w14:textId="061558E9" w:rsidR="00B26777" w:rsidRPr="00FC5728" w:rsidRDefault="00FC5728">
      <w:pPr>
        <w:rPr>
          <w:b/>
          <w:sz w:val="28"/>
          <w:szCs w:val="28"/>
        </w:rPr>
      </w:pPr>
      <w:r w:rsidRPr="00FC5728">
        <w:rPr>
          <w:b/>
          <w:sz w:val="28"/>
          <w:szCs w:val="28"/>
        </w:rPr>
        <w:t>Grant report</w:t>
      </w:r>
    </w:p>
    <w:p w14:paraId="7C00A075" w14:textId="42D11529" w:rsidR="00FC5728" w:rsidRDefault="00FC5728">
      <w:pPr>
        <w:rPr>
          <w:b/>
        </w:rPr>
      </w:pPr>
      <w:r w:rsidRPr="00FC5728">
        <w:rPr>
          <w:b/>
        </w:rPr>
        <w:t>Title of Research</w:t>
      </w:r>
    </w:p>
    <w:p w14:paraId="6A259804" w14:textId="09675FAD" w:rsidR="00FC5728" w:rsidRPr="00FC5728" w:rsidRDefault="00FC5728">
      <w:r w:rsidRPr="00FC5728">
        <w:t>Painbuster</w:t>
      </w:r>
      <w:r>
        <w:rPr>
          <w:vertAlign w:val="superscript"/>
        </w:rPr>
        <w:t>TM</w:t>
      </w:r>
      <w:r w:rsidRPr="00FC5728">
        <w:t xml:space="preserve"> rectus sheath infusion device for analgesia following laparotomy</w:t>
      </w:r>
      <w:r w:rsidR="002A1C47">
        <w:t>.</w:t>
      </w:r>
    </w:p>
    <w:p w14:paraId="3AE7631B" w14:textId="77EAF90B" w:rsidR="00FC5728" w:rsidRDefault="00FC5728">
      <w:pPr>
        <w:rPr>
          <w:b/>
        </w:rPr>
      </w:pPr>
      <w:r>
        <w:rPr>
          <w:b/>
        </w:rPr>
        <w:t>Status</w:t>
      </w:r>
    </w:p>
    <w:p w14:paraId="0C6123D2" w14:textId="04390C16" w:rsidR="00FC5728" w:rsidRDefault="00FC5728">
      <w:r>
        <w:t>Recruitment completed, in the process of writing up for submission to peer reviewed journal.</w:t>
      </w:r>
    </w:p>
    <w:p w14:paraId="1B916716" w14:textId="568F79E9" w:rsidR="00FC5728" w:rsidRDefault="00FC5728">
      <w:pPr>
        <w:rPr>
          <w:b/>
        </w:rPr>
      </w:pPr>
      <w:r>
        <w:rPr>
          <w:b/>
        </w:rPr>
        <w:t>Conduct of study</w:t>
      </w:r>
    </w:p>
    <w:p w14:paraId="47D34105" w14:textId="77777777" w:rsidR="002A1C47" w:rsidRDefault="00FC5728">
      <w:r>
        <w:t xml:space="preserve">The study was truncated at 110 recruited subjects of a target of 120 subjects due to slow recruitment.  Recruitment started in November 2015 and finished in October 2017.  </w:t>
      </w:r>
      <w:r w:rsidR="002A1C47">
        <w:t>There were 3 arms of the study, one placebo group, and 2 active treatment groups, one receiving 0.2% ropivacaine and one receiving 0.5% ropivacaine.</w:t>
      </w:r>
    </w:p>
    <w:p w14:paraId="5944C2B3" w14:textId="6BA58459" w:rsidR="00FC5728" w:rsidRDefault="00FC5728">
      <w:r>
        <w:t xml:space="preserve">In total, 218 patients were recruited pre-operatively for 110 patients to enter the study.  The majority of the patients who were recruited pre-operatively and then didn’t </w:t>
      </w:r>
      <w:r w:rsidR="002A1C47">
        <w:t>enter the study (54) had their surgery completed laparoscopically and therefore were ineligible for the study.</w:t>
      </w:r>
    </w:p>
    <w:p w14:paraId="1DCD10B3" w14:textId="43DB8119" w:rsidR="002A1C47" w:rsidRDefault="002A1C47">
      <w:r>
        <w:t xml:space="preserve">Study recruitment was markedly slower than we were hoping for, mainly related to the large proportion of patients who undergo </w:t>
      </w:r>
      <w:r w:rsidR="00D26FF2">
        <w:t>laparoscopic</w:t>
      </w:r>
      <w:r>
        <w:t xml:space="preserve"> surgery at Waikato hospital.  Additionally, the loss of the Gynaecological oncology service with the retirement of the surgeon reduced the recruitment rate.</w:t>
      </w:r>
    </w:p>
    <w:p w14:paraId="297B7252" w14:textId="2D354387" w:rsidR="002A1C47" w:rsidRDefault="002A1C47">
      <w:pPr>
        <w:rPr>
          <w:b/>
        </w:rPr>
      </w:pPr>
      <w:r>
        <w:rPr>
          <w:b/>
        </w:rPr>
        <w:t>Findings</w:t>
      </w:r>
    </w:p>
    <w:p w14:paraId="6F6C4AD6" w14:textId="011526A2" w:rsidR="002A1C47" w:rsidRDefault="002A1C47">
      <w:r>
        <w:t xml:space="preserve">The patients in the active treatment groups had lower average pain scores at rest and on movement than the placebo group for the first 2 days following surgery.  After the first 2 days the difference in pain scores was no longer statistically significant.  </w:t>
      </w:r>
    </w:p>
    <w:p w14:paraId="2377B958" w14:textId="3BDD819C" w:rsidR="002A1C47" w:rsidRDefault="002A1C47">
      <w:r>
        <w:t xml:space="preserve">The differences in pain scores was modest, </w:t>
      </w:r>
      <w:r w:rsidR="00C91BE2">
        <w:t>an absolute difference of 2 points on an 11</w:t>
      </w:r>
      <w:r w:rsidR="002A75F4">
        <w:t>-</w:t>
      </w:r>
      <w:r w:rsidR="00C91BE2">
        <w:t xml:space="preserve">point scale at rest and an absolute difference of 3 points on movement.  The threshold for a clinically significant </w:t>
      </w:r>
      <w:r w:rsidR="002A75F4">
        <w:t xml:space="preserve">difference on this pain scale is usually considered to be 2 points.  </w:t>
      </w:r>
    </w:p>
    <w:p w14:paraId="3BC21111" w14:textId="0D936DD8" w:rsidR="002A75F4" w:rsidRDefault="002A75F4">
      <w:r>
        <w:t>There was a high failure rate of the Painbuster</w:t>
      </w:r>
      <w:r>
        <w:rPr>
          <w:vertAlign w:val="superscript"/>
        </w:rPr>
        <w:t>TM</w:t>
      </w:r>
      <w:r>
        <w:t xml:space="preserve"> infusion catheters over the time course of the study with only about 50% of the catheters still in place and working at day 4.  </w:t>
      </w:r>
    </w:p>
    <w:p w14:paraId="6BE9B0F0" w14:textId="752C9AA4" w:rsidR="002A75F4" w:rsidRDefault="002A75F4">
      <w:r>
        <w:t>Our other secondary outcome measures, which included opioid usage, patient satisfaction, time to mobilization and discharge, did not vary significantly between the 2 groups.  Overall, patient satisfaction and their rating of their pain management was high in all groups.</w:t>
      </w:r>
    </w:p>
    <w:p w14:paraId="715593C7" w14:textId="19F8E674" w:rsidR="002A75F4" w:rsidRDefault="002A75F4">
      <w:pPr>
        <w:rPr>
          <w:b/>
        </w:rPr>
      </w:pPr>
      <w:r>
        <w:rPr>
          <w:b/>
        </w:rPr>
        <w:t>Presentation of the findings</w:t>
      </w:r>
    </w:p>
    <w:p w14:paraId="7CADAF3A" w14:textId="3AAEC2F0" w:rsidR="002A75F4" w:rsidRDefault="002A75F4">
      <w:r>
        <w:t xml:space="preserve">We have been active in presenting our findings with in the hospital, with presentations to the anaesthetic and surgical departments, and a feature on the research on the hospital intra-net.  Additionally, the findings were presented to the NZ Society of Anaesthetists meeting in Rotorua in November 2017 and will form part of a presentation to the Australia Society of Anaesthetists in Adelaide in October 2018.  </w:t>
      </w:r>
    </w:p>
    <w:p w14:paraId="5D795571" w14:textId="303952C0" w:rsidR="002A75F4" w:rsidRDefault="002A75F4">
      <w:r>
        <w:t>The findings are currently being written up for submission to a peer-reviewed journal.</w:t>
      </w:r>
    </w:p>
    <w:p w14:paraId="22286C5D" w14:textId="5E476694" w:rsidR="002A75F4" w:rsidRDefault="002A75F4">
      <w:pPr>
        <w:rPr>
          <w:b/>
        </w:rPr>
      </w:pPr>
      <w:r>
        <w:rPr>
          <w:b/>
        </w:rPr>
        <w:lastRenderedPageBreak/>
        <w:t>Impact and future research</w:t>
      </w:r>
    </w:p>
    <w:p w14:paraId="74372509" w14:textId="667AA44F" w:rsidR="002A75F4" w:rsidRDefault="002A75F4">
      <w:r>
        <w:t>Overall, because of the only modest benefit demonstrated, the use of the Painbuster</w:t>
      </w:r>
      <w:r>
        <w:rPr>
          <w:vertAlign w:val="superscript"/>
        </w:rPr>
        <w:t xml:space="preserve">TM </w:t>
      </w:r>
      <w:r>
        <w:t xml:space="preserve">infusion devices has reduced in the department.  Due to the high rate of failure over the 4 days that the catheters are </w:t>
      </w:r>
      <w:r w:rsidR="00460B77">
        <w:t xml:space="preserve">expected to last, the surgical department is investigating different ways of dressing or securing the catheters.  </w:t>
      </w:r>
    </w:p>
    <w:p w14:paraId="09FE5AA5" w14:textId="16C6E49C" w:rsidR="00460B77" w:rsidRPr="00460B77" w:rsidRDefault="00460B77">
      <w:r>
        <w:t>We have introduced intravenous lignocaine infusions as an alternative mode of analgesia post-operatively for laparotomy patients.  We aim to alter our infusion regimes for local anaesthetic in rectus sheath catheters to a larger volume intermittent bolus, rather than small volume continuous infusion as the Painbuster</w:t>
      </w:r>
      <w:r>
        <w:rPr>
          <w:vertAlign w:val="superscript"/>
        </w:rPr>
        <w:t xml:space="preserve">TM </w:t>
      </w:r>
      <w:r>
        <w:t xml:space="preserve">provides.  The data set that we have collected in this study will provide important baseline data for further research.  </w:t>
      </w:r>
      <w:bookmarkStart w:id="0" w:name="_GoBack"/>
      <w:bookmarkEnd w:id="0"/>
    </w:p>
    <w:p w14:paraId="546A11C8" w14:textId="77777777" w:rsidR="00FC5728" w:rsidRPr="00FC5728" w:rsidRDefault="00FC5728"/>
    <w:sectPr w:rsidR="00FC5728" w:rsidRPr="00FC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28"/>
    <w:rsid w:val="002A1C47"/>
    <w:rsid w:val="002A75F4"/>
    <w:rsid w:val="003A3B49"/>
    <w:rsid w:val="00460B77"/>
    <w:rsid w:val="0064590C"/>
    <w:rsid w:val="00897A46"/>
    <w:rsid w:val="008C6F9F"/>
    <w:rsid w:val="00B26777"/>
    <w:rsid w:val="00C91BE2"/>
    <w:rsid w:val="00D26FF2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2B8A"/>
  <w15:chartTrackingRefBased/>
  <w15:docId w15:val="{7C9431D1-E2CC-4086-80CD-281992DF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661DAB5FA0A48922FB4CDA2143248" ma:contentTypeVersion="8" ma:contentTypeDescription="Create a new document." ma:contentTypeScope="" ma:versionID="3b82c467221b37e50b6fb6890d8bad74">
  <xsd:schema xmlns:xsd="http://www.w3.org/2001/XMLSchema" xmlns:xs="http://www.w3.org/2001/XMLSchema" xmlns:p="http://schemas.microsoft.com/office/2006/metadata/properties" xmlns:ns2="0adeceee-ed8a-4e41-8e14-0315dc323ccb" targetNamespace="http://schemas.microsoft.com/office/2006/metadata/properties" ma:root="true" ma:fieldsID="4d2a6f45363a7f884319f6a3ef19933f" ns2:_="">
    <xsd:import namespace="0adeceee-ed8a-4e41-8e14-0315dc323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eceee-ed8a-4e41-8e14-0315dc323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1C6BB-91DF-4B8F-A7F9-AC340CE70ED2}"/>
</file>

<file path=customXml/itemProps2.xml><?xml version="1.0" encoding="utf-8"?>
<ds:datastoreItem xmlns:ds="http://schemas.openxmlformats.org/officeDocument/2006/customXml" ds:itemID="{2AF6EF5D-C7AB-459A-BC00-627DF1C368DC}"/>
</file>

<file path=customXml/itemProps3.xml><?xml version="1.0" encoding="utf-8"?>
<ds:datastoreItem xmlns:ds="http://schemas.openxmlformats.org/officeDocument/2006/customXml" ds:itemID="{109D33E3-7060-465D-A61B-BACB61DE0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byrne</dc:creator>
  <cp:keywords/>
  <dc:description/>
  <cp:lastModifiedBy>kelly byrne</cp:lastModifiedBy>
  <cp:revision>3</cp:revision>
  <dcterms:created xsi:type="dcterms:W3CDTF">2018-09-21T19:07:00Z</dcterms:created>
  <dcterms:modified xsi:type="dcterms:W3CDTF">2018-09-21T19:49:00Z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0x0101005A1661DAB5FA0A48922FB4CDA2143248</vt:lpwstr>
  </property>
</Properties>
</file>